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false"/>
        <w:spacing w:lineRule="auto" w:line="240" w:before="0" w:after="0"/>
        <w:jc w:val="righ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8070" w:leader="none"/>
        </w:tabs>
        <w:spacing w:lineRule="auto" w:line="264" w:before="0" w:after="0"/>
        <w:ind w:firstLine="851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ab/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64" w:before="0" w:after="0"/>
        <w:ind w:firstLine="851"/>
        <w:jc w:val="center"/>
        <w:rPr>
          <w:rFonts w:ascii="Times New Roman" w:hAnsi="Times New Roman"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before="0" w:after="0"/>
        <w:ind w:firstLine="851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ТЕХНИЧЕСКИЕ ТРЕБОВАНИЯ</w:t>
      </w:r>
    </w:p>
    <w:p>
      <w:pPr>
        <w:pStyle w:val="Normal"/>
        <w:widowControl w:val="false"/>
        <w:tabs>
          <w:tab w:val="clear" w:pos="708"/>
          <w:tab w:val="left" w:pos="567" w:leader="none"/>
          <w:tab w:val="left" w:pos="1134" w:leader="none"/>
        </w:tabs>
        <w:spacing w:before="0" w:after="0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ОКПД2 [19.20.21] Поставка горюче-смазочных материалов для нужд Дагестанского филиала АО «Гидроремонт-ВКК» в г. Махачкала</w:t>
      </w:r>
    </w:p>
    <w:p>
      <w:pPr>
        <w:pStyle w:val="Normal"/>
        <w:widowControl w:val="false"/>
        <w:tabs>
          <w:tab w:val="clear" w:pos="708"/>
          <w:tab w:val="left" w:pos="2424" w:leader="none"/>
        </w:tabs>
        <w:spacing w:before="0" w:after="0"/>
        <w:jc w:val="center"/>
        <w:rPr>
          <w:highlight w:val="none"/>
          <w:shd w:fill="auto" w:val="clear"/>
        </w:rPr>
      </w:pPr>
      <w:r>
        <w:rPr>
          <w:rFonts w:eastAsia="Calibri" w:cs="Times New Roman" w:ascii="Times New Roman" w:hAnsi="Times New Roman"/>
          <w:b/>
          <w:sz w:val="24"/>
          <w:szCs w:val="24"/>
          <w:shd w:fill="auto" w:val="clear"/>
        </w:rPr>
        <w:t xml:space="preserve">Лот №_______________________________ </w:t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widowControl w:val="false"/>
        <w:numPr>
          <w:ilvl w:val="0"/>
          <w:numId w:val="0"/>
        </w:numPr>
        <w:spacing w:lineRule="auto" w:line="264" w:before="0" w:after="0"/>
        <w:ind w:left="0" w:firstLine="851"/>
        <w:outlineLvl w:val="1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Normal"/>
            <w:widowControl w:val="false"/>
            <w:numPr>
              <w:ilvl w:val="0"/>
              <w:numId w:val="0"/>
            </w:numPr>
            <w:spacing w:lineRule="auto" w:line="264" w:before="0" w:after="0"/>
            <w:ind w:left="0" w:firstLine="851"/>
            <w:jc w:val="center"/>
            <w:outlineLvl w:val="1"/>
            <w:rPr>
              <w:rFonts w:ascii="Times New Roman" w:hAnsi="Times New Roman" w:eastAsia="Times New Roman" w:cs="Times New Roman"/>
              <w:b/>
              <w:bCs/>
              <w:sz w:val="28"/>
              <w:szCs w:val="28"/>
              <w:lang w:eastAsia="ar-SA"/>
            </w:rPr>
          </w:pPr>
          <w:bookmarkStart w:id="0" w:name="_Toc141772985"/>
          <w:r>
            <w:rPr>
              <w:rFonts w:eastAsia="Times New Roman" w:cs="Times New Roman" w:ascii="Times New Roman" w:hAnsi="Times New Roman"/>
              <w:b/>
              <w:bCs/>
              <w:sz w:val="28"/>
              <w:szCs w:val="28"/>
              <w:lang w:eastAsia="ar-SA"/>
            </w:rPr>
            <w:t>СОДЕРЖАНИЕ</w:t>
          </w:r>
          <w:bookmarkEnd w:id="0"/>
        </w:p>
        <w:p>
          <w:pPr>
            <w:pStyle w:val="TOC2"/>
            <w:tabs>
              <w:tab w:val="clear" w:pos="708"/>
              <w:tab w:val="right" w:pos="9911" w:leader="dot"/>
            </w:tabs>
            <w:rPr>
              <w:rFonts w:ascii="Times New Roman" w:hAnsi="Times New Roman" w:eastAsia="" w:cs="Times New Roman" w:eastAsiaTheme="minorEastAsia"/>
              <w:b/>
              <w:lang w:eastAsia="ru-RU"/>
            </w:rPr>
          </w:pPr>
          <w:r>
            <w:fldChar w:fldCharType="begin"/>
          </w:r>
          <w:r>
            <w:rPr/>
            <w:instrText xml:space="preserve"> TOC \z \o "1-3" \u \h</w:instrText>
          </w:r>
          <w:r>
            <w:rPr/>
            <w:fldChar w:fldCharType="separate"/>
          </w:r>
          <w:hyperlink w:anchor="_Toc1417729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_Toc141772985 \h</w:instrText>
            </w:r>
            <w:r>
              <w:rPr>
                <w:webHidden/>
              </w:rPr>
              <w:fldChar w:fldCharType="separate"/>
            </w:r>
            <w:r>
              <w:rPr/>
            </w:r>
            <w:r>
              <w:rPr>
                <w:webHidden/>
              </w:rPr>
              <w:fldChar w:fldCharType="end"/>
            </w:r>
          </w:hyperlink>
          <w:r>
            <w:rPr/>
            <w:fldChar w:fldCharType="end"/>
          </w:r>
        </w:p>
      </w:sdtContent>
    </w:sdt>
    <w:p>
      <w:pPr>
        <w:pStyle w:val="TOC1"/>
        <w:tabs>
          <w:tab w:val="clear" w:pos="708"/>
          <w:tab w:val="left" w:pos="440" w:leader="none"/>
          <w:tab w:val="right" w:pos="9911" w:leader="dot"/>
        </w:tabs>
        <w:rPr>
          <w:rFonts w:ascii="Times New Roman" w:hAnsi="Times New Roman" w:cs="Times New Roman"/>
          <w:b/>
          <w:sz w:val="24"/>
          <w:szCs w:val="24"/>
        </w:rPr>
      </w:pPr>
      <w:hyperlink w:anchor="_Toc141772986">
        <w:r>
          <w:rPr>
            <w:rStyle w:val="Hyperlink"/>
            <w:rFonts w:cs="Times New Roman" w:ascii="Times New Roman" w:hAnsi="Times New Roman"/>
            <w:b/>
            <w:caps/>
            <w:color w:val="auto"/>
            <w:sz w:val="24"/>
            <w:szCs w:val="24"/>
            <w:u w:val="none"/>
          </w:rPr>
          <w:t>1.</w:t>
        </w:r>
        <w:r>
          <w:rPr>
            <w:rStyle w:val="Hyperlink"/>
            <w:rFonts w:cs="Times New Roman" w:ascii="Times New Roman" w:hAnsi="Times New Roman"/>
            <w:b/>
            <w:color w:val="auto"/>
            <w:sz w:val="24"/>
            <w:szCs w:val="24"/>
            <w:u w:val="none"/>
          </w:rPr>
          <w:t>Обозначения и сокращения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cs="Times New Roman" w:ascii="Times New Roman" w:hAnsi="Times New Roman"/>
            <w:color w:val="auto"/>
          </w:rPr>
        </w:r>
        <w:r>
          <w:rPr>
            <w:rStyle w:val="Hyperlink"/>
            <w:rFonts w:cs="Times New Roman" w:ascii="Times New Roman" w:hAnsi="Times New Roman"/>
            <w:b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b/>
            <w:szCs w:val="24"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rFonts w:cs="Times New Roman" w:ascii="Times New Roman" w:hAnsi="Times New Roman"/>
            <w:b/>
            <w:color w:val="auto"/>
            <w:sz w:val="24"/>
            <w:szCs w:val="24"/>
            <w:u w:val="none"/>
          </w:rPr>
        </w:r>
        <w:r>
          <w:rPr>
            <w:rStyle w:val="Hyperlink"/>
            <w:rFonts w:cs="Times New Roman" w:ascii="Times New Roman" w:hAnsi="Times New Roman"/>
            <w:b/>
            <w:color w:val="auto"/>
            <w:sz w:val="24"/>
            <w:szCs w:val="24"/>
            <w:u w:val="none"/>
          </w:rPr>
        </w:r>
        <w:r>
          <w:rPr>
            <w:rStyle w:val="Hyperlink"/>
            <w:sz w:val="24"/>
            <w:u w:val="none"/>
            <w:b/>
            <w:szCs w:val="24"/>
            <w:rFonts w:cs="Times New Roman" w:ascii="Times New Roman" w:hAnsi="Times New Roman"/>
            <w:color w:val="auto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_Toc141772986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2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……………………………………………………………………….3</w:t>
      </w:r>
    </w:p>
    <w:p>
      <w:pPr>
        <w:pStyle w:val="TOC2"/>
        <w:tabs>
          <w:tab w:val="clear" w:pos="708"/>
          <w:tab w:val="left" w:pos="880" w:leader="none"/>
          <w:tab w:val="right" w:pos="9911" w:leader="dot"/>
        </w:tabs>
        <w:ind w:left="0" w:hanging="0"/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hyperlink w:anchor="_Toc141772987"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  <w:t>1.2.Наименование закупаемой продукции.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  <w:fldChar w:fldCharType="separate"/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_Toc141772987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3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………………………………………………………..3</w:t>
      </w:r>
    </w:p>
    <w:p>
      <w:pPr>
        <w:pStyle w:val="TOC2"/>
        <w:tabs>
          <w:tab w:val="clear" w:pos="708"/>
          <w:tab w:val="left" w:pos="880" w:leader="none"/>
          <w:tab w:val="right" w:pos="9911" w:leader="dot"/>
        </w:tabs>
        <w:ind w:left="0" w:hanging="0"/>
        <w:rPr>
          <w:rStyle w:val="Hyperlink"/>
          <w:rFonts w:ascii="Times New Roman" w:hAnsi="Times New Roman" w:cs="Times New Roman"/>
          <w:b/>
          <w:color w:val="auto"/>
          <w:sz w:val="24"/>
          <w:szCs w:val="24"/>
          <w:u w:val="none"/>
        </w:rPr>
      </w:pPr>
      <w:hyperlink w:anchor="_Toc141772988"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  <w:t>1.3.Цель использования закупаемой продукции.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  <w:fldChar w:fldCharType="separate"/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rFonts w:eastAsia="Times New Roman"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eastAsia="Times New Roman" w:cs="Times New Roman" w:ascii="Times New Roman" w:hAnsi="Times New Roman"/>
            <w:color w:val="auto"/>
            <w:lang w:eastAsia="ar-SA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_Toc141772988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3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………………………………………………....3</w:t>
      </w:r>
    </w:p>
    <w:p>
      <w:pPr>
        <w:pStyle w:val="Normal"/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1.4.Иные требования и сведения общего характера……………………………………………...3</w:t>
      </w:r>
    </w:p>
    <w:p>
      <w:pPr>
        <w:pStyle w:val="TOC1"/>
        <w:tabs>
          <w:tab w:val="clear" w:pos="708"/>
          <w:tab w:val="left" w:pos="440" w:leader="none"/>
          <w:tab w:val="right" w:pos="9911" w:leader="dot"/>
        </w:tabs>
        <w:rPr>
          <w:rFonts w:ascii="Times New Roman" w:hAnsi="Times New Roman" w:cs="Times New Roman"/>
          <w:b/>
          <w:sz w:val="24"/>
          <w:szCs w:val="24"/>
        </w:rPr>
      </w:pPr>
      <w:hyperlink w:anchor="_Toc141772989">
        <w:r>
          <w:rPr>
            <w:rStyle w:val="Hyperlink"/>
            <w:rFonts w:eastAsia="Calibri" w:cs="Times New Roman" w:ascii="Times New Roman" w:hAnsi="Times New Roman"/>
            <w:b/>
            <w:iCs/>
            <w:caps/>
            <w:color w:val="auto"/>
            <w:sz w:val="24"/>
            <w:szCs w:val="24"/>
            <w:u w:val="none"/>
            <w:lang w:eastAsia="x-none"/>
          </w:rPr>
          <w:t>2.</w:t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val="x-none" w:eastAsia="x-none"/>
          </w:rPr>
          <w:t>Требования к продукции</w:t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  <w:t>.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_Toc141772989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………………………………………………………………………….4</w:t>
      </w:r>
    </w:p>
    <w:p>
      <w:pPr>
        <w:pStyle w:val="TOC1"/>
        <w:tabs>
          <w:tab w:val="clear" w:pos="708"/>
          <w:tab w:val="left" w:pos="440" w:leader="none"/>
          <w:tab w:val="right" w:pos="9911" w:leader="dot"/>
        </w:tabs>
        <w:rPr>
          <w:rFonts w:ascii="Times New Roman" w:hAnsi="Times New Roman" w:cs="Times New Roman"/>
          <w:b/>
          <w:sz w:val="24"/>
          <w:szCs w:val="24"/>
        </w:rPr>
      </w:pPr>
      <w:hyperlink w:anchor="_Toc141772989">
        <w:r>
          <w:rPr>
            <w:rStyle w:val="Hyperlink"/>
            <w:rFonts w:eastAsia="Calibri" w:cs="Times New Roman" w:ascii="Times New Roman" w:hAnsi="Times New Roman"/>
            <w:b/>
            <w:iCs/>
            <w:caps/>
            <w:color w:val="auto"/>
            <w:sz w:val="24"/>
            <w:szCs w:val="24"/>
            <w:u w:val="none"/>
            <w:lang w:eastAsia="x-none"/>
          </w:rPr>
          <w:t>2.1</w:t>
        </w:r>
        <w:r>
          <w:rPr>
            <w:rStyle w:val="Hyperlink"/>
            <w:rFonts w:eastAsia="" w:cs="Times New Roman" w:ascii="Times New Roman" w:hAnsi="Times New Roman" w:eastAsiaTheme="minorEastAsia"/>
            <w:b/>
            <w:color w:val="auto"/>
            <w:sz w:val="24"/>
            <w:szCs w:val="24"/>
            <w:u w:val="none"/>
            <w:lang w:eastAsia="ru-RU"/>
          </w:rPr>
          <w:tab/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val="x-none" w:eastAsia="x-none"/>
          </w:rPr>
          <w:t>Требования к объёмам и срокам поставки</w:t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  <w:t>.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iCs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iCs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_Toc141772989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…………………………………………………..4</w:t>
      </w:r>
    </w:p>
    <w:p>
      <w:pPr>
        <w:pStyle w:val="TOC3"/>
        <w:tabs>
          <w:tab w:val="clear" w:pos="708"/>
          <w:tab w:val="left" w:pos="1320" w:leader="none"/>
          <w:tab w:val="right" w:pos="9911" w:leader="dot"/>
        </w:tabs>
        <w:ind w:left="0" w:hanging="0"/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hyperlink w:anchor="_Toc141772990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>2.1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.1</w:t>
        </w:r>
        <w:r>
          <w:rPr>
            <w:rStyle w:val="Hyperlink"/>
            <w:rFonts w:eastAsia="" w:cs="Times New Roman" w:ascii="Times New Roman" w:hAnsi="Times New Roman" w:eastAsiaTheme="minorEastAsia"/>
            <w:b/>
            <w:color w:val="auto"/>
            <w:sz w:val="24"/>
            <w:szCs w:val="24"/>
            <w:u w:val="none"/>
            <w:lang w:eastAsia="ru-RU"/>
          </w:rPr>
          <w:t xml:space="preserve">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Перечень и объем закупаемой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_Toc141772990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…………………………………………………...4</w:t>
      </w:r>
    </w:p>
    <w:p>
      <w:pPr>
        <w:pStyle w:val="TOC1"/>
        <w:tabs>
          <w:tab w:val="clear" w:pos="708"/>
          <w:tab w:val="right" w:pos="9911" w:leader="dot"/>
        </w:tabs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hyperlink w:anchor="_Toc141772991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 xml:space="preserve">Таблица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1.1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 xml:space="preserve">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Перечень и объем закупаемой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_Toc141772991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………………………………………….4</w:t>
      </w:r>
    </w:p>
    <w:p>
      <w:pPr>
        <w:pStyle w:val="TOC3"/>
        <w:tabs>
          <w:tab w:val="clear" w:pos="708"/>
          <w:tab w:val="left" w:pos="1320" w:leader="none"/>
          <w:tab w:val="right" w:pos="9911" w:leader="dot"/>
        </w:tabs>
        <w:ind w:left="0" w:hanging="0"/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hyperlink w:anchor="_Toc141772992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2.1.2</w:t>
        </w:r>
        <w:r>
          <w:rPr>
            <w:rStyle w:val="Hyperlink"/>
            <w:rFonts w:eastAsia="" w:cs="Times New Roman" w:ascii="Times New Roman" w:hAnsi="Times New Roman" w:eastAsiaTheme="minorEastAsia"/>
            <w:b/>
            <w:color w:val="auto"/>
            <w:sz w:val="24"/>
            <w:szCs w:val="24"/>
            <w:u w:val="none"/>
            <w:lang w:eastAsia="ru-RU"/>
          </w:rPr>
          <w:t xml:space="preserve">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Требования к срокам поставки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_Toc141772992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…………………………………………………4</w:t>
      </w:r>
    </w:p>
    <w:p>
      <w:pPr>
        <w:pStyle w:val="TOC1"/>
        <w:tabs>
          <w:tab w:val="clear" w:pos="708"/>
          <w:tab w:val="right" w:pos="9911" w:leader="dot"/>
        </w:tabs>
        <w:rPr>
          <w:rFonts w:ascii="Times New Roman" w:hAnsi="Times New Roman" w:cs="Times New Roman"/>
          <w:b/>
          <w:sz w:val="24"/>
          <w:szCs w:val="24"/>
        </w:rPr>
      </w:pPr>
      <w:hyperlink w:anchor="_Toc141772993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 xml:space="preserve">Таблица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2.1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 xml:space="preserve"> Требования по срокам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поставки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_Toc141772993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……………………………………….4</w:t>
      </w:r>
    </w:p>
    <w:p>
      <w:pPr>
        <w:pStyle w:val="TOC3"/>
        <w:tabs>
          <w:tab w:val="clear" w:pos="708"/>
          <w:tab w:val="left" w:pos="1320" w:leader="none"/>
          <w:tab w:val="right" w:pos="9911" w:leader="dot"/>
        </w:tabs>
        <w:ind w:left="0" w:hanging="0"/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hyperlink w:anchor="_Toc141772992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2.2</w:t>
        </w:r>
        <w:r>
          <w:rPr>
            <w:rStyle w:val="Hyperlink"/>
            <w:rFonts w:eastAsia="" w:cs="Times New Roman" w:ascii="Times New Roman" w:hAnsi="Times New Roman" w:eastAsiaTheme="minorEastAsia"/>
            <w:b/>
            <w:color w:val="auto"/>
            <w:sz w:val="24"/>
            <w:szCs w:val="24"/>
            <w:u w:val="none"/>
            <w:lang w:eastAsia="ru-RU"/>
          </w:rPr>
          <w:t xml:space="preserve"> </w:t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  <w:t>Требования к качеству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_Toc141772992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……………………………………………………………..5</w:t>
      </w:r>
    </w:p>
    <w:p>
      <w:pPr>
        <w:pStyle w:val="TOC1"/>
        <w:tabs>
          <w:tab w:val="clear" w:pos="708"/>
          <w:tab w:val="right" w:pos="9911" w:leader="dot"/>
        </w:tabs>
        <w:rPr>
          <w:rFonts w:ascii="Times New Roman" w:hAnsi="Times New Roman" w:cs="Times New Roman"/>
          <w:b/>
          <w:sz w:val="24"/>
          <w:szCs w:val="24"/>
        </w:rPr>
      </w:pPr>
      <w:hyperlink w:anchor="_Toc141772994"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  <w:t>Таблица 3. Требования к продукции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val="x-none"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val="x-none" w:eastAsia="x-none"/>
          </w:rPr>
          <w:fldChar w:fldCharType="separate"/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</w:r>
        <w:r>
          <w:rPr>
            <w:rStyle w:val="Hyperlink"/>
            <w:rFonts w:eastAsia="Calibri" w:cs="Times New Roman" w:ascii="Times New Roman" w:hAnsi="Times New Roman"/>
            <w:b/>
            <w:color w:val="auto"/>
            <w:sz w:val="24"/>
            <w:szCs w:val="24"/>
            <w:u w:val="none"/>
            <w:lang w:val="x-none" w:eastAsia="x-none"/>
          </w:rPr>
        </w:r>
        <w:r>
          <w:rPr>
            <w:rStyle w:val="Hyperlink"/>
            <w:sz w:val="24"/>
            <w:u w:val="none"/>
            <w:b/>
            <w:szCs w:val="24"/>
            <w:rFonts w:eastAsia="Calibri" w:cs="Times New Roman" w:ascii="Times New Roman" w:hAnsi="Times New Roman"/>
            <w:color w:val="auto"/>
            <w:lang w:val="x-none" w:eastAsia="x-none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_Toc141772994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4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……………………………………………………………….5</w:t>
      </w:r>
    </w:p>
    <w:p>
      <w:pPr>
        <w:pStyle w:val="TOC1"/>
        <w:tabs>
          <w:tab w:val="clear" w:pos="708"/>
          <w:tab w:val="right" w:pos="9911" w:leader="dot"/>
        </w:tabs>
        <w:spacing w:lineRule="auto" w:lin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3. Требования к документации по ценообразованию на этапе закупки……………………….7</w:t>
      </w:r>
    </w:p>
    <w:p>
      <w:pPr>
        <w:pStyle w:val="TOC1"/>
        <w:tabs>
          <w:tab w:val="clear" w:pos="708"/>
          <w:tab w:val="right" w:pos="9911" w:leader="dot"/>
        </w:tabs>
        <w:spacing w:lineRule="auto" w:line="240"/>
        <w:rPr>
          <w:rFonts w:ascii="Times New Roman" w:hAnsi="Times New Roman" w:eastAsia="" w:cs="Times New Roman" w:eastAsiaTheme="minorEastAsia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4. </w:t>
      </w:r>
      <w:hyperlink w:anchor="_Toc141772996">
        <w:r>
          <w:rPr>
            <w:rStyle w:val="Hyperlink"/>
            <w:rFonts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  <w:t>Приложение</w:t>
        </w:r>
        <w:r>
          <w:fldChar w:fldCharType="begin"/>
        </w:r>
        <w:r>
          <w:rPr>
            <w:rStyle w:val="Hyperlink"/>
            <w:sz w:val="24"/>
            <w:u w:val="none"/>
            <w:b/>
            <w:szCs w:val="24"/>
            <w:bCs/>
            <w:rFonts w:cs="Times New Roman" w:ascii="Times New Roman" w:hAnsi="Times New Roman"/>
            <w:color w:val="auto"/>
            <w:lang w:eastAsia="ar-SA"/>
          </w:rPr>
        </w:r>
        <w:r>
          <w:rPr>
            <w:rStyle w:val="Hyperlink"/>
            <w:rFonts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cs="Times New Roman" w:ascii="Times New Roman" w:hAnsi="Times New Roman"/>
            <w:color w:val="auto"/>
            <w:lang w:eastAsia="ar-SA"/>
          </w:rPr>
          <w:fldChar w:fldCharType="separate"/>
        </w:r>
        <w:r>
          <w:rPr>
            <w:rStyle w:val="Hyperlink"/>
            <w:rFonts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rFonts w:cs="Times New Roman" w:ascii="Times New Roman" w:hAnsi="Times New Roman"/>
            <w:b/>
            <w:bCs/>
            <w:color w:val="auto"/>
            <w:sz w:val="24"/>
            <w:szCs w:val="24"/>
            <w:u w:val="none"/>
            <w:lang w:eastAsia="ar-SA"/>
          </w:rPr>
        </w:r>
        <w:r>
          <w:rPr>
            <w:rStyle w:val="Hyperlink"/>
            <w:sz w:val="24"/>
            <w:u w:val="none"/>
            <w:b/>
            <w:szCs w:val="24"/>
            <w:bCs/>
            <w:rFonts w:cs="Times New Roman" w:ascii="Times New Roman" w:hAnsi="Times New Roman"/>
            <w:color w:val="auto"/>
            <w:lang w:eastAsia="ar-SA"/>
          </w:rPr>
          <w:fldChar w:fldCharType="end"/>
        </w:r>
        <w:r>
          <w:rPr>
            <w:rStyle w:val="Hyperlink"/>
            <w:rFonts w:cs="Times New Roman" w:ascii="Times New Roman" w:hAnsi="Times New Roman"/>
            <w:b/>
            <w:vanish/>
            <w:color w:val="auto"/>
            <w:sz w:val="24"/>
            <w:szCs w:val="24"/>
            <w:u w:val="none"/>
          </w:rPr>
          <w:fldChar w:fldCharType="begin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instrText xml:space="preserve"> PAGEREF _Toc141772996 \h </w:instrTex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separate"/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t>Ошибка: источник перекрёстной ссылки не найден</w:t>
        </w:r>
        <w:r>
          <w:rPr>
            <w:rStyle w:val="Hyperlink"/>
            <w:sz w:val="24"/>
            <w:u w:val="none"/>
            <w:b/>
            <w:szCs w:val="24"/>
            <w:vanish/>
            <w:rFonts w:cs="Times New Roman" w:ascii="Times New Roman" w:hAnsi="Times New Roman"/>
            <w:color w:val="auto"/>
          </w:rPr>
          <w:fldChar w:fldCharType="end"/>
        </w:r>
      </w:hyperlink>
      <w:r>
        <w:rPr>
          <w:rStyle w:val="Hyperlink"/>
          <w:rFonts w:cs="Times New Roman" w:ascii="Times New Roman" w:hAnsi="Times New Roman"/>
          <w:b/>
          <w:color w:val="auto"/>
          <w:sz w:val="24"/>
          <w:szCs w:val="24"/>
          <w:u w:val="none"/>
        </w:rPr>
        <w:t>…………………………………………………………………………………………8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Cs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ar-SA"/>
        </w:rPr>
      </w:r>
    </w:p>
    <w:p>
      <w:pPr>
        <w:pStyle w:val="Heading1"/>
        <w:keepLines/>
        <w:numPr>
          <w:ilvl w:val="0"/>
          <w:numId w:val="5"/>
        </w:numPr>
        <w:jc w:val="center"/>
        <w:rPr>
          <w:sz w:val="24"/>
          <w:szCs w:val="24"/>
          <w:lang w:val="ru-RU"/>
        </w:rPr>
      </w:pPr>
      <w:bookmarkStart w:id="1" w:name="_Toc51339692"/>
      <w:bookmarkStart w:id="2" w:name="_Toc75446566"/>
      <w:bookmarkStart w:id="3" w:name="_Toc125473240"/>
      <w:bookmarkStart w:id="4" w:name="_Toc141772986"/>
      <w:r>
        <w:rPr>
          <w:sz w:val="24"/>
          <w:szCs w:val="24"/>
          <w:lang w:val="ru-RU"/>
        </w:rPr>
        <w:t>Общие сведения</w:t>
      </w:r>
      <w:bookmarkEnd w:id="1"/>
      <w:bookmarkEnd w:id="2"/>
      <w:bookmarkEnd w:id="3"/>
      <w:bookmarkEnd w:id="4"/>
    </w:p>
    <w:p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b/>
          <w:sz w:val="24"/>
          <w:szCs w:val="24"/>
          <w:lang w:eastAsia="x-none"/>
        </w:rPr>
      </w:pPr>
      <w:r>
        <w:rPr>
          <w:rFonts w:cs="Times New Roman" w:ascii="Times New Roman" w:hAnsi="Times New Roman"/>
          <w:b/>
          <w:sz w:val="24"/>
          <w:szCs w:val="24"/>
          <w:lang w:eastAsia="x-none"/>
        </w:rPr>
        <w:t>Обозначения и сокращения</w:t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АЗС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  <w:shd w:fill="FFFF99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автозаправочная 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ГСМ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горюче – смазочные материалы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iCs/>
                <w:sz w:val="24"/>
                <w:szCs w:val="24"/>
                <w:lang w:eastAsia="ru-RU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spacing w:before="0"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дизельное топливо</w:t>
            </w:r>
          </w:p>
        </w:tc>
      </w:tr>
    </w:tbl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contextualSpacing/>
        <w:outlineLvl w:val="1"/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pPr>
      <w:bookmarkStart w:id="5" w:name="_Toc125473241"/>
      <w:bookmarkStart w:id="6" w:name="_Toc141772987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ar-SA"/>
        </w:rPr>
        <w:t>Наименование закупаемой продукции.</w:t>
      </w:r>
      <w:bookmarkEnd w:id="5"/>
      <w:bookmarkEnd w:id="6"/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ОКПД2 [19.20.21] Поставка горюче-смазочных материалов для нужд Дагестанского филиала АО «Гидроремонт-ВКК» в г. Махачкала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40" w:before="0" w:after="0"/>
        <w:contextualSpacing/>
        <w:outlineLvl w:val="1"/>
        <w:rPr>
          <w:rFonts w:ascii="Times New Roman" w:hAnsi="Times New Roman" w:eastAsia="Times New Roman" w:cs="Times New Roman"/>
          <w:b/>
          <w:bCs/>
          <w:sz w:val="24"/>
          <w:szCs w:val="24"/>
          <w:lang w:eastAsia="ar-SA"/>
        </w:rPr>
      </w:pPr>
      <w:bookmarkStart w:id="7" w:name="_Toc125473242"/>
      <w:bookmarkStart w:id="8" w:name="_Toc141772988"/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ar-SA"/>
        </w:rPr>
        <w:t>Цель использования закупаемой продукции.</w:t>
      </w:r>
      <w:bookmarkEnd w:id="7"/>
      <w:bookmarkEnd w:id="8"/>
    </w:p>
    <w:p>
      <w:pPr>
        <w:pStyle w:val="Normal"/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Заправка собственного автотранспорта, машин и механизмов Дагестанского филиала АО «Гидроремонт-ВКК» в г.Махачкала.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Иные требования и сведения общего характера.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spacing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Поставка ГСМ включает в себя:</w:t>
      </w:r>
    </w:p>
    <w:p>
      <w:pPr>
        <w:pStyle w:val="Normal"/>
        <w:widowControl w:val="false"/>
        <w:spacing w:before="0" w:after="20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kern w:val="2"/>
          <w:sz w:val="24"/>
          <w:szCs w:val="24"/>
        </w:rPr>
        <w:t>- Предоставление процессинговых услуг по обслуживанию топливных карт (далее – Карта/Карты);</w:t>
      </w:r>
    </w:p>
    <w:p>
      <w:pPr>
        <w:pStyle w:val="Normal"/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kern w:val="2"/>
          <w:sz w:val="24"/>
          <w:szCs w:val="24"/>
        </w:rPr>
        <w:t>- Обеспечение транспортных средств, принадлежащих Обществу, нефтепродуктами, с использованием Карт, ежедневно, в круглосуточном режиме, включая выходные и праздничные дни, на период действия договора.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Стоимость ГСМ, получаемых по Картам на АЗС, не должна превышать стоимость ГСМ, указанную на стеле АЗС в день заправки транспортного средства с учетом итоговой скидки, предложенной в ходе проведения закупки Победителем Конкурса (Поставщиком).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Наличие программного обеспечения для проведения полного комплекса операций по отпуску ГСМ с использования Карт.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Ежемесячное представление отчета об объеме отпуска ГСМ с детализацией по Картам.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Предоставление доступа в личный кабинет Пользователя (Покупателя)посредством регистрации на официальном сайте Поставщика в сети Интернет с целью получения информации о состоянии лицевого счета и совершенным операциям по Картам в режиме реального времени.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kern w:val="2"/>
          <w:sz w:val="24"/>
          <w:szCs w:val="24"/>
        </w:rPr>
        <w:t>Карта должна обеспечить получение ГСМ с учетом установленных Покупателем лимитов, либо с отсутствием таковых. При полном использовании денежных средств Покупателем Поставщик обязан заблаговременно уведомить Покупателя.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Необходимое количество Карт определяется Покупателем самостоятельно, исходя из текущей потребности, и предоставляются Поставщику на основании письменной заявки. Ориентировочная потребность Покупателя в Картах составляет 45 штук.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Наличие возможности установления ежесуточного/ежемесячного лимита на количество отпускаемого ГСМ по Карте, независимо от состояния счета Покупателя.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Поставщику необходимо обеспечить возможность удаленного блокирования Карт как через сервис поддержки Поставщика, так и через личный кабинет Пользователя.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ab/>
        <w:t>Поставщик обязан блокировать / разблокировать Карты в течение 12 (двенадцати) часов с момента получения соответствующего обращения Покупателя через личный кабинет Пользователя или направлением заявки в свободной форме на электронную почту Поставщика.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Карты могут быть заблокированы</w:t>
      </w:r>
      <w:r>
        <w:rPr>
          <w:rFonts w:cs="Times New Roman" w:ascii="Times New Roman" w:hAnsi="Times New Roman"/>
          <w:bCs/>
          <w:kern w:val="2"/>
          <w:sz w:val="24"/>
          <w:szCs w:val="24"/>
          <w:lang w:val="en-US"/>
        </w:rPr>
        <w:t>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по требованию Покупателя;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по причине неверно введенного пин-кода Карты на АЗС при получении ГСМ более 3 (трех) раз подряд (блокируется автоматически);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при завершении действия Договора.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После каждой операции с использованием Карты Покупателю на АЗС в обязательном порядке выдается чек терминала. В случае успешного обслуживания – чек о совершенной операции. В случае неуспешной операции с Картой – чек отказа с указанием причины отказа в совершении операции.</w:t>
      </w:r>
    </w:p>
    <w:p>
      <w:pPr>
        <w:pStyle w:val="ListParagraph"/>
        <w:numPr>
          <w:ilvl w:val="2"/>
          <w:numId w:val="1"/>
        </w:numPr>
        <w:tabs>
          <w:tab w:val="clear" w:pos="708"/>
          <w:tab w:val="left" w:pos="426" w:leader="none"/>
          <w:tab w:val="left" w:pos="1100" w:leader="none"/>
        </w:tabs>
        <w:jc w:val="both"/>
        <w:rPr>
          <w:rFonts w:ascii="Times New Roman" w:hAnsi="Times New Roman" w:cs="Times New Roman"/>
          <w:bCs/>
          <w:kern w:val="2"/>
          <w:sz w:val="24"/>
          <w:szCs w:val="24"/>
        </w:rPr>
      </w:pPr>
      <w:r>
        <w:rPr>
          <w:rFonts w:cs="Times New Roman" w:ascii="Times New Roman" w:hAnsi="Times New Roman"/>
          <w:bCs/>
          <w:kern w:val="2"/>
          <w:sz w:val="24"/>
          <w:szCs w:val="24"/>
        </w:rPr>
        <w:t>Стационарные АЗС и/или ближайшие АЗС сети АЗС должны располагаться на расстоянии (учитывается фактическое расстояние по дорогам общего пользования) не более 30 км от места нахождения транспортных участков Покупателя, указанных в Приложении № 1 к Техническим Требованиям.</w:t>
      </w:r>
    </w:p>
    <w:p>
      <w:pPr>
        <w:pStyle w:val="Normal"/>
        <w:keepNext w:val="true"/>
        <w:keepLines/>
        <w:numPr>
          <w:ilvl w:val="0"/>
          <w:numId w:val="2"/>
        </w:numPr>
        <w:spacing w:lineRule="auto" w:line="240" w:before="120" w:after="0"/>
        <w:jc w:val="center"/>
        <w:outlineLvl w:val="0"/>
        <w:rPr>
          <w:rFonts w:ascii="Times New Roman" w:hAnsi="Times New Roman" w:eastAsia="Calibri" w:cs="Times New Roman"/>
          <w:b/>
          <w:iCs/>
          <w:caps/>
          <w:sz w:val="24"/>
          <w:szCs w:val="24"/>
          <w:lang w:eastAsia="x-none"/>
        </w:rPr>
      </w:pPr>
      <w:bookmarkStart w:id="9" w:name="_Toc125473249"/>
      <w:bookmarkStart w:id="10" w:name="_Toc141772989"/>
      <w:bookmarkStart w:id="11" w:name="_Toc51339693"/>
      <w:bookmarkStart w:id="12" w:name="_Toc75446573"/>
      <w:r>
        <w:rPr>
          <w:rFonts w:eastAsia="Calibri" w:cs="Times New Roman" w:ascii="Times New Roman" w:hAnsi="Times New Roman"/>
          <w:b/>
          <w:iCs/>
          <w:sz w:val="24"/>
          <w:szCs w:val="24"/>
          <w:lang w:val="x-none" w:eastAsia="x-none"/>
        </w:rPr>
        <w:t>Требования к продукции</w:t>
      </w:r>
      <w:bookmarkEnd w:id="11"/>
      <w:bookmarkEnd w:id="12"/>
      <w:r>
        <w:rPr>
          <w:rFonts w:eastAsia="Calibri" w:cs="Times New Roman" w:ascii="Times New Roman" w:hAnsi="Times New Roman"/>
          <w:b/>
          <w:iCs/>
          <w:sz w:val="24"/>
          <w:szCs w:val="24"/>
          <w:lang w:eastAsia="x-none"/>
        </w:rPr>
        <w:t>.</w:t>
      </w:r>
      <w:bookmarkEnd w:id="9"/>
      <w:bookmarkEnd w:id="10"/>
    </w:p>
    <w:p>
      <w:pPr>
        <w:pStyle w:val="Heading4"/>
        <w:numPr>
          <w:ilvl w:val="1"/>
          <w:numId w:val="3"/>
        </w:numPr>
        <w:spacing w:before="120" w:after="0"/>
        <w:ind w:left="567" w:hanging="567"/>
        <w:rPr>
          <w:b w:val="false"/>
          <w:bCs w:val="false"/>
        </w:rPr>
      </w:pPr>
      <w:bookmarkStart w:id="13" w:name="_Toc75446574"/>
      <w:r>
        <w:rPr>
          <w:bCs w:val="false"/>
        </w:rPr>
        <w:t>Требования к объёмам и срокам поставк</w:t>
      </w:r>
      <w:r>
        <w:rPr>
          <w:b w:val="false"/>
          <w:bCs w:val="false"/>
        </w:rPr>
        <w:t>и</w:t>
      </w:r>
      <w:bookmarkEnd w:id="13"/>
    </w:p>
    <w:p>
      <w:pPr>
        <w:pStyle w:val="Normal"/>
        <w:keepNext w:val="true"/>
        <w:numPr>
          <w:ilvl w:val="2"/>
          <w:numId w:val="2"/>
        </w:numPr>
        <w:tabs>
          <w:tab w:val="clear" w:pos="708"/>
          <w:tab w:val="left" w:pos="567" w:leader="none"/>
        </w:tabs>
        <w:spacing w:lineRule="auto" w:line="240" w:before="120" w:after="0"/>
        <w:ind w:left="1227" w:hanging="1227"/>
        <w:outlineLvl w:val="2"/>
        <w:rPr>
          <w:rFonts w:ascii="Times New Roman" w:hAnsi="Times New Roman" w:eastAsia="Calibri" w:cs="Times New Roman"/>
          <w:b/>
          <w:sz w:val="24"/>
          <w:szCs w:val="24"/>
          <w:lang w:val="x-none" w:eastAsia="x-none"/>
        </w:rPr>
      </w:pPr>
      <w:bookmarkStart w:id="14" w:name="_Toc75446575"/>
      <w:bookmarkStart w:id="15" w:name="_Toc125473250"/>
      <w:bookmarkStart w:id="16" w:name="_Toc141772990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Перечень и объем закупаемой продукции</w:t>
      </w:r>
      <w:bookmarkEnd w:id="14"/>
      <w:bookmarkEnd w:id="15"/>
      <w:bookmarkEnd w:id="16"/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240" w:after="0"/>
        <w:ind w:left="0" w:hanging="0"/>
        <w:outlineLvl w:val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bookmarkStart w:id="17" w:name="_Toc75446576"/>
      <w:bookmarkStart w:id="18" w:name="_Toc125473251"/>
      <w:bookmarkStart w:id="19" w:name="_Toc141772991"/>
      <w:bookmarkStart w:id="20" w:name="_Toc51339695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1.1</w:t>
      </w:r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 </w:t>
      </w: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 xml:space="preserve">Перечень </w:t>
      </w:r>
      <w:bookmarkEnd w:id="20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и объем закупаемой продукции</w:t>
      </w:r>
      <w:bookmarkEnd w:id="17"/>
      <w:bookmarkEnd w:id="18"/>
      <w:bookmarkEnd w:id="19"/>
    </w:p>
    <w:tbl>
      <w:tblPr>
        <w:tblW w:w="9983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32"/>
        <w:gridCol w:w="6413"/>
        <w:gridCol w:w="1420"/>
        <w:gridCol w:w="1417"/>
      </w:tblGrid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продукции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4</w:t>
            </w:r>
          </w:p>
        </w:tc>
      </w:tr>
      <w:tr>
        <w:trPr>
          <w:trHeight w:val="328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Бензин АИ-92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39 548</w:t>
            </w:r>
          </w:p>
        </w:tc>
      </w:tr>
      <w:tr>
        <w:trPr>
          <w:trHeight w:val="328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Бензин АИ-95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21 174</w:t>
            </w:r>
          </w:p>
        </w:tc>
      </w:tr>
      <w:tr>
        <w:trPr>
          <w:trHeight w:val="328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pacing w:val="2"/>
                <w:sz w:val="24"/>
                <w:szCs w:val="24"/>
                <w:lang w:val="en-US"/>
              </w:rPr>
              <w:t>ДТ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89 413</w:t>
            </w:r>
          </w:p>
        </w:tc>
      </w:tr>
      <w:tr>
        <w:trPr>
          <w:trHeight w:val="328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Топливная карта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45</w:t>
            </w:r>
          </w:p>
        </w:tc>
      </w:tr>
    </w:tbl>
    <w:p>
      <w:pPr>
        <w:pStyle w:val="Normal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Normal"/>
        <w:keepNext w:val="true"/>
        <w:numPr>
          <w:ilvl w:val="2"/>
          <w:numId w:val="2"/>
        </w:numPr>
        <w:tabs>
          <w:tab w:val="clear" w:pos="708"/>
          <w:tab w:val="left" w:pos="567" w:leader="none"/>
        </w:tabs>
        <w:spacing w:lineRule="auto" w:line="240" w:before="120" w:after="0"/>
        <w:ind w:left="1227" w:hanging="1227"/>
        <w:outlineLvl w:val="2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bookmarkStart w:id="21" w:name="_Toc141772992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Требования к срокам поставки продукции</w:t>
      </w:r>
      <w:bookmarkEnd w:id="21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 xml:space="preserve"> 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240" w:after="0"/>
        <w:ind w:left="0" w:hanging="0"/>
        <w:outlineLvl w:val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bookmarkStart w:id="22" w:name="_Toc75446579"/>
      <w:bookmarkStart w:id="23" w:name="_Toc125473253"/>
      <w:bookmarkStart w:id="24" w:name="_Toc141772993"/>
      <w:bookmarkStart w:id="25" w:name="_Toc50125127"/>
      <w:bookmarkStart w:id="26" w:name="_Toc51339697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2.1</w:t>
      </w:r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 </w:t>
      </w:r>
      <w:bookmarkStart w:id="27" w:name="_Hlk50465284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Требования по срокам </w:t>
      </w:r>
      <w:bookmarkEnd w:id="25"/>
      <w:bookmarkEnd w:id="26"/>
      <w:bookmarkEnd w:id="27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поставки продукции</w:t>
      </w:r>
      <w:bookmarkEnd w:id="22"/>
      <w:bookmarkEnd w:id="23"/>
      <w:bookmarkEnd w:id="24"/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 xml:space="preserve"> </w:t>
      </w:r>
    </w:p>
    <w:tbl>
      <w:tblPr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1"/>
        <w:gridCol w:w="3232"/>
        <w:gridCol w:w="3118"/>
        <w:gridCol w:w="3261"/>
      </w:tblGrid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продукции / партии продукции/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началу срока поставки продукции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ind w:left="57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4"/>
              </w:numPr>
              <w:spacing w:lineRule="auto" w:line="240" w:before="0" w:after="0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themeFill="background1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ОКПД2 [19.20.21] Поставка горюче-смазочных материалов для нужд Дагестанского филиала АО «Гидроремонт-ВКК» в г. Махачкала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01.01.202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spacing w:before="0" w:after="20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val="en-US"/>
              </w:rPr>
              <w:t xml:space="preserve">Не позднее 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31.12.202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г.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b/>
          <w:sz w:val="24"/>
          <w:szCs w:val="24"/>
          <w:lang w:eastAsia="x-none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</w:r>
    </w:p>
    <w:p>
      <w:pPr>
        <w:pStyle w:val="Heading4"/>
        <w:numPr>
          <w:ilvl w:val="1"/>
          <w:numId w:val="3"/>
        </w:numPr>
        <w:tabs>
          <w:tab w:val="clear" w:pos="708"/>
          <w:tab w:val="left" w:pos="4253" w:leader="none"/>
        </w:tabs>
        <w:spacing w:before="120" w:after="0"/>
        <w:ind w:left="567" w:hanging="567"/>
        <w:rPr/>
      </w:pPr>
      <w:r>
        <w:rPr/>
        <w:t xml:space="preserve"> </w:t>
      </w:r>
      <w:bookmarkStart w:id="28" w:name="_Toc125473255"/>
      <w:r>
        <w:rPr/>
        <w:t>Требования к качеству продукции</w:t>
      </w:r>
      <w:bookmarkEnd w:id="28"/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240" w:after="0"/>
        <w:ind w:left="0" w:hanging="0"/>
        <w:outlineLvl w:val="0"/>
        <w:rPr>
          <w:rFonts w:ascii="Times New Roman" w:hAnsi="Times New Roman" w:eastAsia="Calibri" w:cs="Times New Roman"/>
          <w:b/>
          <w:sz w:val="24"/>
          <w:szCs w:val="24"/>
          <w:lang w:val="x-none" w:eastAsia="x-none"/>
        </w:rPr>
      </w:pPr>
      <w:bookmarkStart w:id="29" w:name="_Toc125473256"/>
      <w:bookmarkStart w:id="30" w:name="_Toc141772994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>Таблица 3. Требования к продукции</w:t>
      </w:r>
      <w:bookmarkEnd w:id="29"/>
      <w:bookmarkEnd w:id="30"/>
      <w:r>
        <w:rPr>
          <w:rFonts w:eastAsia="Calibri" w:cs="Times New Roman" w:ascii="Times New Roman" w:hAnsi="Times New Roman"/>
          <w:b/>
          <w:sz w:val="24"/>
          <w:szCs w:val="24"/>
          <w:lang w:val="x-none" w:eastAsia="x-none"/>
        </w:rPr>
        <w:t xml:space="preserve"> </w:t>
      </w:r>
    </w:p>
    <w:p>
      <w:pPr>
        <w:pStyle w:val="Normal"/>
        <w:jc w:val="both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>Наименование продукции (позиция № 1 Таблицы 1.1):</w:t>
      </w:r>
      <w:r>
        <w:rPr>
          <w:rFonts w:cs="Times New Roman" w:ascii="Times New Roman" w:hAnsi="Times New Roman"/>
          <w:bCs/>
          <w:iCs/>
          <w:sz w:val="24"/>
          <w:szCs w:val="24"/>
        </w:rPr>
        <w:t xml:space="preserve"> Бензин АИ-92, Бензин АИ-95, Дизельное топливо</w:t>
      </w:r>
    </w:p>
    <w:tbl>
      <w:tblPr>
        <w:tblStyle w:val="aff5"/>
        <w:tblW w:w="104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978"/>
        <w:gridCol w:w="1841"/>
        <w:gridCol w:w="1557"/>
        <w:gridCol w:w="2131"/>
        <w:gridCol w:w="2127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3819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155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25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3819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55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1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1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38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155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1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12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131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Участник должен представить в заявке согласие поставить продукцию, полностью соответствующую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2127" w:type="dxa"/>
            <w:vMerge w:val="restart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>
          <w:trHeight w:val="265" w:hRule="atLeast"/>
        </w:trPr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Физико-химические и эксплуатационные показатели бензинов АИ 92, АИ 95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99" w:hRule="atLeast"/>
        </w:trPr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1.1.1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Октановое число (исследовательский метод), не менее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92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67" w:hRule="atLeast"/>
        </w:trPr>
        <w:tc>
          <w:tcPr>
            <w:tcW w:w="85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1.1.2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Октановое число (исследовательский метод), не менее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95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1.1.3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Плотность при 15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ru-RU" w:bidi="ar-SA"/>
              </w:rPr>
              <w:t>0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С, кг/см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 725 до 780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25" w:hanging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1.1.4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Содержание свинца, г/дм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vertAlign w:val="superscript"/>
                <w:lang w:val="ru-RU" w:eastAsia="ru-RU" w:bidi="ar-SA"/>
              </w:rPr>
              <w:t>3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, не более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0,01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1.1.5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Внешний вид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Чистый, прозрачный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1.1.6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ГОСТ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32513-2013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</w:t>
            </w:r>
          </w:p>
        </w:tc>
        <w:tc>
          <w:tcPr>
            <w:tcW w:w="5376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Физико-химические и эксплуатационные показатели дизельного топлива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1.2.1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Цетановое число, не менее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45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1.2.2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Массовая доля серы, мг/кг, не более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2000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1.2.3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Содержание водорастворимых кислот и щелочей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Отсутствует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1.2.4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Зольность, %, не более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0,01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1.2.5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Содержание воды, мг/кг, не более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200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1.2.6</w:t>
            </w:r>
          </w:p>
        </w:tc>
        <w:tc>
          <w:tcPr>
            <w:tcW w:w="381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ГОСТ</w:t>
            </w:r>
          </w:p>
        </w:tc>
        <w:tc>
          <w:tcPr>
            <w:tcW w:w="155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305-2013</w:t>
            </w:r>
          </w:p>
        </w:tc>
        <w:tc>
          <w:tcPr>
            <w:tcW w:w="2131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38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</w:t>
            </w:r>
          </w:p>
        </w:tc>
        <w:tc>
          <w:tcPr>
            <w:tcW w:w="15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lineRule="auto" w:line="240" w:before="60" w:after="60"/>
              <w:ind w:left="-117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Температура застывания, ниже 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vertAlign w:val="superscript"/>
                <w:lang w:val="ru-RU" w:eastAsia="ru-RU" w:bidi="ar-SA"/>
              </w:rPr>
              <w:t>0</w:t>
            </w: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</w:t>
            </w:r>
          </w:p>
        </w:tc>
        <w:tc>
          <w:tcPr>
            <w:tcW w:w="15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- 60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155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8"/>
              </w:numPr>
              <w:suppressAutoHyphens w:val="true"/>
              <w:spacing w:lineRule="auto" w:line="240" w:before="60" w:after="60"/>
              <w:ind w:left="-117" w:firstLine="14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1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Сертификат соответствия на продукцию, шт</w:t>
            </w:r>
          </w:p>
        </w:tc>
        <w:tc>
          <w:tcPr>
            <w:tcW w:w="155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lineRule="auto" w:line="240"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качеству продукции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4.1.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Качество получаемых ГСМ по Картам должно соответствовать стандартным техническим условиям. Гарантия качества ГСМ действует в течение сроков, указанных в ГОСТах, ТУ и сертификатах качества. Поставщик обязан обеспечить возможность предоставления копии сертификата качества на поставляемые ГСМ по требованию Покупателя в момент получения ГСМ по Карте на АЗС.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4.2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В случаях поставки ГСМ с отступлениями от условий, указанных в настоящих ТТ, ухудшившими результат обеспечения ГСМ, или с иными недостатками, которые делают ГСМ непригодными для предусмотренного в Договоре использования, Покупатель вправе потребовать от Поставщика безвозмездного устранения недостатков в разумный срок Предоставление некачественных ГСМ приравнивается к их не предоставлению.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4.3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Покупатель вправе требовать от Поставщика возмещение стоимости некачественных ГСМ и возмещение реального ущерба, понесенного Покупателем, в связи с предоставленными Покупателю некачественными ГСМ.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4.4.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Покупатель в праве проводить выборочный контроль качества, поставляемых ГСМ, в аккредитованной лаборатории. В случае установления некачественных ГСМ, поставленных Покупателю расходы на проведение экспертизы, несет Поставщик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5.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5.1. </w:t>
            </w:r>
          </w:p>
        </w:tc>
        <w:tc>
          <w:tcPr>
            <w:tcW w:w="197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периодичности поставок продукции</w:t>
            </w:r>
          </w:p>
        </w:tc>
        <w:tc>
          <w:tcPr>
            <w:tcW w:w="339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Обеспечение ГСМ транспортных средств Покупателя должно осуществляться ежедневно, в круглосуточном режиме, включая выходные и праздничные дни, на период действия договора на  АЗС с использованием Карт</w:t>
            </w:r>
          </w:p>
        </w:tc>
        <w:tc>
          <w:tcPr>
            <w:tcW w:w="2131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6.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Иные требования</w:t>
            </w:r>
          </w:p>
        </w:tc>
        <w:tc>
          <w:tcPr>
            <w:tcW w:w="2131" w:type="dxa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6.1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Продукция должна соответствовать требованиям </w:t>
            </w:r>
            <w:bookmarkStart w:id="31" w:name="_GoBack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ГОСТ 32513-2013 </w:t>
            </w:r>
            <w:bookmarkEnd w:id="31"/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 xml:space="preserve">и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Техническому регламенту таможенного союза ТР ТС 013/2011 </w:t>
            </w:r>
            <w:r>
              <w:rPr>
                <w:rFonts w:eastAsia="Calibri" w:cs="Times New Roman" w:ascii="Times New Roman" w:hAnsi="Times New Roman"/>
                <w:bCs/>
                <w:kern w:val="2"/>
                <w:sz w:val="24"/>
                <w:szCs w:val="24"/>
                <w:lang w:val="ru-RU" w:eastAsia="ru-RU" w:bidi="ar-SA"/>
              </w:rPr>
              <w:t>«О требованиях к автомобильному и авиационному бензину, дизельному и судовому топливу, топливу для реактивных двигателей и мазуту» (Решение Комиссии Таможенного союза от 18.10.2011г. №826).</w:t>
            </w:r>
          </w:p>
        </w:tc>
        <w:tc>
          <w:tcPr>
            <w:tcW w:w="2131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>6.2</w:t>
            </w:r>
          </w:p>
        </w:tc>
        <w:tc>
          <w:tcPr>
            <w:tcW w:w="5376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Поставщик должен предоставить по требованию Покупателя, копии сертификатов соответствия, подтверждающих соответствие предлагаемой продукции обязательным требованиям нормативных документов, действующих в РФ.</w:t>
            </w:r>
          </w:p>
        </w:tc>
        <w:tc>
          <w:tcPr>
            <w:tcW w:w="2131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127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20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284" w:leader="none"/>
          <w:tab w:val="left" w:pos="426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hd w:val="clear" w:color="auto" w:fill="FFFFFF"/>
        <w:tabs>
          <w:tab w:val="clear" w:pos="708"/>
          <w:tab w:val="left" w:pos="284" w:leader="none"/>
        </w:tabs>
        <w:spacing w:lineRule="auto" w:line="240" w:before="0" w:after="0"/>
        <w:contextualSpacing/>
        <w:rPr>
          <w:rFonts w:ascii="Times New Roman" w:hAnsi="Times New Roman" w:cs="Times New Roman"/>
          <w:b/>
          <w:spacing w:val="-10"/>
          <w:sz w:val="24"/>
          <w:szCs w:val="24"/>
        </w:rPr>
      </w:pPr>
      <w:r>
        <w:rPr>
          <w:rFonts w:cs="Times New Roman" w:ascii="Times New Roman" w:hAnsi="Times New Roman"/>
          <w:b/>
          <w:spacing w:val="-10"/>
          <w:sz w:val="24"/>
          <w:szCs w:val="24"/>
        </w:rPr>
        <w:t xml:space="preserve">Требования к документации по ценообразованию </w:t>
      </w:r>
      <w:r>
        <w:rPr>
          <w:rFonts w:eastAsia="Calibri" w:cs="Times New Roman" w:ascii="Times New Roman" w:hAnsi="Times New Roman"/>
          <w:b/>
          <w:sz w:val="24"/>
          <w:szCs w:val="24"/>
          <w:lang w:eastAsia="x-none"/>
        </w:rPr>
        <w:t>на этапе закупки</w:t>
      </w:r>
      <w:r>
        <w:rPr>
          <w:rFonts w:cs="Times New Roman" w:ascii="Times New Roman" w:hAnsi="Times New Roman"/>
          <w:b/>
          <w:spacing w:val="-10"/>
          <w:sz w:val="24"/>
          <w:szCs w:val="24"/>
        </w:rPr>
        <w:t>.</w:t>
      </w:r>
    </w:p>
    <w:p>
      <w:pPr>
        <w:pStyle w:val="ListParagraph"/>
        <w:shd w:val="clear" w:color="auto" w:fill="FFFFFF"/>
        <w:tabs>
          <w:tab w:val="clear" w:pos="708"/>
          <w:tab w:val="left" w:pos="284" w:leader="none"/>
        </w:tabs>
        <w:spacing w:lineRule="auto" w:line="240" w:before="0" w:after="0"/>
        <w:ind w:left="360" w:hanging="0"/>
        <w:contextualSpacing/>
        <w:jc w:val="center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cs="Times New Roman" w:ascii="Times New Roman" w:hAnsi="Times New Roman"/>
          <w:spacing w:val="-10"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3.1. Плановая потребность Покупателя в ГСМ, указана Таблице 1.1.  настоящих технических требований.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3.2. Плановая потребность Покупателя в Картах указана в п.4 в таблицы 1.1.  настоящих технических требований.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3.3. Участник в составе заявки должен представить информацию о: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3.3.1. Размере скидки на 1 (один) литр топлива в % (процентах),</w:t>
      </w:r>
      <w:r>
        <w:rPr>
          <w:rFonts w:cs="Times New Roman" w:ascii="Times New Roman" w:hAnsi="Times New Roman"/>
          <w:spacing w:val="-10"/>
          <w:sz w:val="24"/>
          <w:szCs w:val="24"/>
        </w:rPr>
        <w:t xml:space="preserve"> исходя из </w:t>
      </w:r>
      <w:r>
        <w:rPr>
          <w:rFonts w:cs="Times New Roman" w:ascii="Times New Roman" w:hAnsi="Times New Roman"/>
          <w:sz w:val="24"/>
          <w:szCs w:val="24"/>
        </w:rPr>
        <w:t>плановой потребности Покупателя в ГСМ</w:t>
      </w:r>
      <w:r>
        <w:rPr>
          <w:rFonts w:cs="Times New Roman" w:ascii="Times New Roman" w:hAnsi="Times New Roman"/>
          <w:spacing w:val="-1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указанной в Приложении №2 к настоящим ТТ</w:t>
      </w:r>
      <w:r>
        <w:rPr>
          <w:rFonts w:cs="Times New Roman" w:ascii="Times New Roman" w:hAnsi="Times New Roman"/>
          <w:spacing w:val="-10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3.4. Указанная в п.п.3.3.1. информация должна быть представлена по форме Приложения №2 к настоящим ТТ.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3.5 При условии соответствия заявок Участников требованиям Документации о закупке, выбор Победителя будет осуществляться по: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максимальному размеру скидки на 1 (один) литр топлива, (%);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предоставленной в заявке Участника, с учетом оценочных критериев, указанных в Документации о закупке.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3.6. Предельная цена Договора, заключаемого в результате закупочной процедуры будет соответствовать цене лота, указанной в Извещении о проведении закупки, и не может быть увеличена в ходе закупочной процедуры и/или исполнения Договора.</w:t>
      </w:r>
    </w:p>
    <w:p>
      <w:pPr>
        <w:pStyle w:val="Normal"/>
        <w:spacing w:lineRule="auto" w:line="240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cs="Times New Roman" w:ascii="Times New Roman" w:hAnsi="Times New Roman"/>
          <w:sz w:val="24"/>
          <w:szCs w:val="24"/>
        </w:rPr>
        <w:t>3.7. Заявленная Победителем закупочной процедуры (Участником) итоговая скидка на 1 (один) литр топлива (%) будет применяться ко всем получаемым Покупателем ГСМ по Картам на АЗС Поставщика в течение действия Договора.</w:t>
      </w:r>
    </w:p>
    <w:p>
      <w:pPr>
        <w:pStyle w:val="Normal"/>
        <w:tabs>
          <w:tab w:val="clear" w:pos="708"/>
          <w:tab w:val="left" w:pos="284" w:leader="none"/>
          <w:tab w:val="left" w:pos="3544" w:leader="none"/>
          <w:tab w:val="left" w:pos="3686" w:leader="none"/>
        </w:tabs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3544" w:leader="none"/>
          <w:tab w:val="left" w:pos="3686" w:leader="none"/>
        </w:tabs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3544" w:leader="none"/>
          <w:tab w:val="left" w:pos="3686" w:leader="none"/>
        </w:tabs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  <w:tab w:val="left" w:pos="3544" w:leader="none"/>
          <w:tab w:val="left" w:pos="3686" w:leader="none"/>
        </w:tabs>
        <w:spacing w:lineRule="auto" w:line="24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 Приложения: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1. Приложение №1 «Список подразделений» на 1 листе;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 xml:space="preserve">3. </w:t>
      </w:r>
      <w:r>
        <w:rPr>
          <w:rFonts w:cs="Times New Roman" w:ascii="Times New Roman" w:hAnsi="Times New Roman"/>
          <w:sz w:val="24"/>
          <w:szCs w:val="24"/>
        </w:rPr>
        <w:t xml:space="preserve">Приложение №2 «Форма предоставления информации о размере скидки на 1 (один) литр топлива». </w:t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rPr>
          <w:rFonts w:ascii="Times New Roman" w:hAnsi="Times New Roman" w:eastAsia="Times New Roman" w:cs="Times New Roman"/>
          <w:bCs/>
          <w:i/>
          <w:i/>
          <w:iCs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eastAsia="ar-SA"/>
        </w:rPr>
      </w:r>
    </w:p>
    <w:p>
      <w:pPr>
        <w:pStyle w:val="Normal"/>
        <w:spacing w:lineRule="auto" w:line="240" w:before="0" w:after="0"/>
        <w:ind w:left="6237" w:right="60" w:firstLine="6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П</w:t>
      </w:r>
      <w:r>
        <w:rPr>
          <w:rFonts w:cs="Times New Roman" w:ascii="Times New Roman" w:hAnsi="Times New Roman"/>
          <w:sz w:val="24"/>
          <w:szCs w:val="24"/>
        </w:rPr>
        <w:t>риложение № 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к техническим требованиям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. </w:t>
      </w:r>
    </w:p>
    <w:p>
      <w:pPr>
        <w:pStyle w:val="Normal"/>
        <w:spacing w:lineRule="auto" w:line="240" w:before="0" w:after="0"/>
        <w:ind w:firstLine="709"/>
        <w:contextualSpacing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contextualSpacing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Список подразделений </w:t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tbl>
      <w:tblPr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11"/>
        <w:gridCol w:w="4820"/>
        <w:gridCol w:w="4542"/>
      </w:tblGrid>
      <w:tr>
        <w:trPr>
          <w:trHeight w:val="896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sz w:val="24"/>
                <w:szCs w:val="24"/>
              </w:rPr>
              <w:t>Место нахождения</w:t>
            </w:r>
          </w:p>
        </w:tc>
      </w:tr>
      <w:tr>
        <w:trPr>
          <w:trHeight w:val="250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108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  <w:lang w:eastAsia="ru-RU"/>
              </w:rPr>
              <w:t>Дагестанский филиал  АО «Гидроремонт-ВКК»  в г. Махачкала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367000 Российская Федерация, РД, г.Махачкала, ул. Ахульго, д 9.</w:t>
            </w:r>
          </w:p>
        </w:tc>
      </w:tr>
      <w:tr>
        <w:trPr>
          <w:trHeight w:val="250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108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Чирюртский производственный участок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368101, Российская Федерация, РД, Кизилюртовский район, пгт. Бавтугай, Чирюртская ГЭС</w:t>
            </w:r>
          </w:p>
        </w:tc>
      </w:tr>
      <w:tr>
        <w:trPr>
          <w:trHeight w:val="250" w:hRule="atLeast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108"/>
              <w:contextualSpacing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Ирганайский производственный участок</w:t>
            </w:r>
          </w:p>
        </w:tc>
        <w:tc>
          <w:tcPr>
            <w:tcW w:w="4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368951, Российская Федерация, Республика Дагестан, Унцукульский район, с. Гимры, Ирганайская ГЭС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eastAsia="Calibri" w:cs="Times New Roman"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color w:val="FF0000"/>
          <w:sz w:val="24"/>
          <w:szCs w:val="24"/>
        </w:rPr>
      </w:pPr>
      <w:r>
        <w:rPr>
          <w:rFonts w:eastAsia="Calibri" w:cs="Times New Roman" w:ascii="Times New Roman" w:hAnsi="Times New Roman"/>
          <w:color w:val="FF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6237" w:right="60" w:firstLine="6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  <w:t>к техническим требованиям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</w:t>
      </w:r>
    </w:p>
    <w:p>
      <w:pPr>
        <w:pStyle w:val="Normal"/>
        <w:ind w:right="238" w:hanging="0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bookmarkStart w:id="32" w:name="bookmark8"/>
      <w:r>
        <w:rPr>
          <w:rFonts w:cs="Times New Roman" w:ascii="Times New Roman" w:hAnsi="Times New Roman"/>
          <w:b/>
          <w:bCs/>
          <w:spacing w:val="10"/>
          <w:sz w:val="24"/>
          <w:szCs w:val="24"/>
        </w:rPr>
        <w:t xml:space="preserve">Форма предоставления информации о размере скидки на 1 (один) литр топлива. </w:t>
      </w:r>
      <w:bookmarkEnd w:id="32"/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Размер скидки на 1 (один) литр топлива, (%).</w:t>
      </w:r>
    </w:p>
    <w:tbl>
      <w:tblPr>
        <w:tblW w:w="1006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1"/>
        <w:gridCol w:w="3828"/>
        <w:gridCol w:w="1823"/>
        <w:gridCol w:w="3562"/>
      </w:tblGrid>
      <w:tr>
        <w:trPr>
          <w:trHeight w:val="70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ИТОГО общий объем ГСМ, л</w:t>
            </w:r>
          </w:p>
        </w:tc>
        <w:tc>
          <w:tcPr>
            <w:tcW w:w="3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Итоговый размер скидки на 1 (один) л. ГСМ*</w:t>
            </w:r>
            <w:r>
              <w:rPr>
                <w:rStyle w:val="FootnoteReference"/>
                <w:rFonts w:cs="Times New Roman" w:ascii="Times New Roman" w:hAnsi="Times New Roman"/>
                <w:sz w:val="24"/>
                <w:szCs w:val="24"/>
              </w:rPr>
              <w:footnoteReference w:id="2"/>
            </w:r>
          </w:p>
        </w:tc>
      </w:tr>
      <w:tr>
        <w:trPr>
          <w:trHeight w:val="2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Бензин АИ-92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39 548</w:t>
            </w:r>
          </w:p>
        </w:tc>
        <w:tc>
          <w:tcPr>
            <w:tcW w:w="3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Бензин АИ-95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21 174</w:t>
            </w:r>
          </w:p>
        </w:tc>
        <w:tc>
          <w:tcPr>
            <w:tcW w:w="3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5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i/>
                <w:i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i/>
                <w:spacing w:val="2"/>
                <w:sz w:val="28"/>
                <w:szCs w:val="28"/>
                <w:lang w:val="en-US"/>
              </w:rPr>
              <w:t>Топливо дизельное ЕВРО (ГОСТ 32511-2013 (EN 590:2009))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Palatino Linotype" w:cs="Times New Roman" w:ascii="Times New Roman" w:hAnsi="Times New Roman"/>
                <w:bCs/>
                <w:kern w:val="0"/>
                <w:sz w:val="24"/>
                <w:szCs w:val="24"/>
                <w:lang w:val="ru-RU" w:eastAsia="en-US" w:bidi="ar-SA"/>
              </w:rPr>
              <w:t>89 413</w:t>
            </w:r>
          </w:p>
        </w:tc>
        <w:tc>
          <w:tcPr>
            <w:tcW w:w="3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6355" w:leader="none"/>
        </w:tabs>
        <w:ind w:right="238" w:hanging="0"/>
        <w:rPr>
          <w:rFonts w:ascii="Times New Roman" w:hAnsi="Times New Roman" w:cs="Times New Roman"/>
          <w:bCs/>
          <w:spacing w:val="10"/>
          <w:sz w:val="24"/>
          <w:szCs w:val="24"/>
        </w:rPr>
      </w:pPr>
      <w:r>
        <w:rPr>
          <w:rFonts w:cs="Times New Roman" w:ascii="Times New Roman" w:hAnsi="Times New Roman"/>
          <w:bCs/>
          <w:spacing w:val="10"/>
          <w:sz w:val="24"/>
          <w:szCs w:val="24"/>
        </w:rPr>
      </w:r>
    </w:p>
    <w:p>
      <w:pPr>
        <w:pStyle w:val="Normal"/>
        <w:tabs>
          <w:tab w:val="clear" w:pos="708"/>
          <w:tab w:val="left" w:pos="6355" w:leader="none"/>
        </w:tabs>
        <w:ind w:right="238" w:hanging="0"/>
        <w:rPr>
          <w:rFonts w:ascii="Times New Roman" w:hAnsi="Times New Roman" w:cs="Times New Roman"/>
          <w:bCs/>
          <w:spacing w:val="10"/>
          <w:sz w:val="24"/>
          <w:szCs w:val="24"/>
        </w:rPr>
      </w:pPr>
      <w:r>
        <w:rPr>
          <w:rFonts w:cs="Times New Roman" w:ascii="Times New Roman" w:hAnsi="Times New Roman"/>
          <w:bCs/>
          <w:spacing w:val="10"/>
          <w:sz w:val="24"/>
          <w:szCs w:val="24"/>
        </w:rPr>
        <w:t>* – итоговый размер скидки (числовое значение) округляется до сотых (два знака после запятой). Возможное значение от «0» и выше.</w:t>
      </w:r>
    </w:p>
    <w:p>
      <w:pPr>
        <w:pStyle w:val="Normal"/>
        <w:tabs>
          <w:tab w:val="clear" w:pos="708"/>
          <w:tab w:val="left" w:pos="6355" w:leader="none"/>
        </w:tabs>
        <w:ind w:left="993" w:right="238" w:hanging="0"/>
        <w:jc w:val="center"/>
        <w:rPr>
          <w:rFonts w:ascii="Times New Roman" w:hAnsi="Times New Roman" w:cs="Times New Roman"/>
          <w:bCs/>
          <w:spacing w:val="10"/>
          <w:sz w:val="24"/>
          <w:szCs w:val="24"/>
        </w:rPr>
      </w:pPr>
      <w:r>
        <w:rPr>
          <w:rFonts w:cs="Times New Roman" w:ascii="Times New Roman" w:hAnsi="Times New Roman"/>
          <w:bCs/>
          <w:spacing w:val="10"/>
          <w:sz w:val="24"/>
          <w:szCs w:val="24"/>
        </w:rPr>
      </w:r>
    </w:p>
    <w:p>
      <w:pPr>
        <w:pStyle w:val="Normal"/>
        <w:numPr>
          <w:ilvl w:val="0"/>
          <w:numId w:val="0"/>
        </w:numPr>
        <w:ind w:left="0" w:hanging="0"/>
        <w:jc w:val="both"/>
        <w:outlineLvl w:val="8"/>
        <w:rPr>
          <w:rFonts w:ascii="Times New Roman" w:hAnsi="Times New Roman" w:cs="Times New Roman"/>
          <w:bCs/>
          <w:spacing w:val="-10"/>
          <w:sz w:val="24"/>
          <w:szCs w:val="24"/>
          <w:highlight w:val="yellow"/>
        </w:rPr>
      </w:pPr>
      <w:r>
        <w:rPr>
          <w:rFonts w:cs="Times New Roman" w:ascii="Times New Roman" w:hAnsi="Times New Roman"/>
          <w:bCs/>
          <w:spacing w:val="-10"/>
          <w:sz w:val="24"/>
          <w:szCs w:val="24"/>
          <w:highlight w:val="yellow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tabs>
          <w:tab w:val="clear" w:pos="708"/>
          <w:tab w:val="left" w:pos="6498" w:leader="none"/>
        </w:tabs>
        <w:spacing w:before="0" w:after="200"/>
        <w:rPr>
          <w:rFonts w:ascii="Times New Roman" w:hAnsi="Times New Roman" w:eastAsia="Calibri" w:cs="Times New Roman"/>
          <w:sz w:val="24"/>
          <w:szCs w:val="24"/>
        </w:rPr>
      </w:pPr>
      <w:r>
        <w:rPr/>
      </w:r>
    </w:p>
    <w:sectPr>
      <w:footerReference w:type="default" r:id="rId2"/>
      <w:footnotePr>
        <w:numFmt w:val="decimal"/>
        <w:numRestart w:val="eachPage"/>
      </w:footnotePr>
      <w:type w:val="nextPage"/>
      <w:pgSz w:w="11906" w:h="16838"/>
      <w:pgMar w:left="1134" w:right="851" w:gutter="0" w:header="0" w:top="680" w:footer="0" w:bottom="68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26589250"/>
    </w:sdtPr>
    <w:sdtContent>
      <w:p>
        <w:pPr>
          <w:pStyle w:val="Footer"/>
          <w:jc w:val="right"/>
          <w:rPr>
            <w:rFonts w:ascii="Times New Roman" w:hAnsi="Times New Roman"/>
            <w:sz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sz w:val="26"/>
          <w:szCs w:val="26"/>
        </w:rPr>
      </w:pPr>
      <w:r>
        <w:rPr>
          <w:rStyle w:val="Style13"/>
        </w:rPr>
        <w:footnoteRef/>
      </w: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>При подаче заявки заполняется Участником размер скидки на 1 (один) литр топлива в %.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sz w:val="24"/>
        <w:b/>
        <w:szCs w:val="24"/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2">
    <w:lvl w:ilvl="0">
      <w:start w:val="2"/>
      <w:numFmt w:val="decimal"/>
      <w:lvlText w:val="%1."/>
      <w:lvlJc w:val="left"/>
      <w:pPr>
        <w:tabs>
          <w:tab w:val="num" w:pos="0"/>
        </w:tabs>
        <w:ind w:left="717" w:hanging="360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7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30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37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12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47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322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57" w:hanging="1800"/>
      </w:pPr>
      <w:rPr/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04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096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4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92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984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136" w:hanging="180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7"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rFonts w:cstheme="minorBidi"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9654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Heading3"/>
    <w:next w:val="Normal"/>
    <w:link w:val="1"/>
    <w:qFormat/>
    <w:rsid w:val="00011af9"/>
    <w:pPr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rsid w:val="004c77ec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3"/>
    <w:autoRedefine/>
    <w:qFormat/>
    <w:rsid w:val="00011af9"/>
    <w:pPr>
      <w:keepNext w:val="true"/>
      <w:spacing w:lineRule="auto" w:line="240" w:before="120" w:after="60"/>
      <w:outlineLvl w:val="2"/>
    </w:pPr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011af9"/>
    <w:p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Нижний колонтитул Знак"/>
    <w:basedOn w:val="DefaultParagraphFont"/>
    <w:uiPriority w:val="99"/>
    <w:qFormat/>
    <w:rsid w:val="00eb4ab8"/>
    <w:rPr>
      <w:rFonts w:ascii="Calibri" w:hAnsi="Calibri" w:eastAsia="Calibri" w:cs="Times New Roman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1533cc"/>
    <w:rPr/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27f2b"/>
    <w:rPr>
      <w:rFonts w:ascii="Tahoma" w:hAnsi="Tahoma" w:cs="Tahoma"/>
      <w:sz w:val="16"/>
      <w:szCs w:val="16"/>
    </w:rPr>
  </w:style>
  <w:style w:type="character" w:styleId="Style8" w:customStyle="1">
    <w:name w:val="Текст Знак"/>
    <w:basedOn w:val="DefaultParagraphFont"/>
    <w:link w:val="PlainText"/>
    <w:uiPriority w:val="99"/>
    <w:semiHidden/>
    <w:qFormat/>
    <w:rsid w:val="00d35997"/>
    <w:rPr>
      <w:rFonts w:ascii="Calibri" w:hAnsi="Calibri"/>
      <w:szCs w:val="21"/>
    </w:rPr>
  </w:style>
  <w:style w:type="character" w:styleId="Apple-converted-space" w:customStyle="1">
    <w:name w:val="apple-converted-space"/>
    <w:basedOn w:val="DefaultParagraphFont"/>
    <w:qFormat/>
    <w:rsid w:val="00770603"/>
    <w:rPr/>
  </w:style>
  <w:style w:type="character" w:styleId="Bodytext2" w:customStyle="1">
    <w:name w:val="Body text (2)"/>
    <w:basedOn w:val="DefaultParagraphFont"/>
    <w:qFormat/>
    <w:rsid w:val="00c56bda"/>
    <w:rPr>
      <w:rFonts w:ascii="Arial Unicode MS" w:hAnsi="Arial Unicode MS" w:eastAsia="Arial Unicode MS" w:cs="Arial Unicode MS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styleId="Bodytext21" w:customStyle="1">
    <w:name w:val="Body text (2)_"/>
    <w:basedOn w:val="DefaultParagraphFont"/>
    <w:qFormat/>
    <w:rsid w:val="00c56bda"/>
    <w:rPr>
      <w:b w:val="false"/>
      <w:bCs w:val="false"/>
      <w:i w:val="false"/>
      <w:iCs w:val="false"/>
      <w:caps w:val="false"/>
      <w:smallCaps w:val="false"/>
      <w:strike w:val="false"/>
      <w:dstrike w:val="false"/>
      <w:sz w:val="18"/>
      <w:szCs w:val="18"/>
      <w:u w:val="none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c56bda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semiHidden/>
    <w:qFormat/>
    <w:rsid w:val="00c56bda"/>
    <w:rPr>
      <w:sz w:val="20"/>
      <w:szCs w:val="20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c56bda"/>
    <w:rPr>
      <w:b/>
      <w:bCs/>
      <w:sz w:val="20"/>
      <w:szCs w:val="20"/>
    </w:rPr>
  </w:style>
  <w:style w:type="character" w:styleId="Style11" w:customStyle="1">
    <w:name w:val="Абзац списка Знак"/>
    <w:link w:val="ListParagraph"/>
    <w:uiPriority w:val="34"/>
    <w:qFormat/>
    <w:locked/>
    <w:rsid w:val="000d5e13"/>
    <w:rPr/>
  </w:style>
  <w:style w:type="character" w:styleId="1" w:customStyle="1">
    <w:name w:val="Заголовок 1 Знак"/>
    <w:basedOn w:val="DefaultParagraphFont"/>
    <w:qFormat/>
    <w:rsid w:val="00011af9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011af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011af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Hyperlink">
    <w:name w:val="Hyperlink"/>
    <w:basedOn w:val="DefaultParagraphFont"/>
    <w:uiPriority w:val="99"/>
    <w:unhideWhenUsed/>
    <w:rsid w:val="00071f1b"/>
    <w:rPr>
      <w:color w:val="0000FF" w:themeColor="hyperlink"/>
      <w:u w:val="single"/>
    </w:rPr>
  </w:style>
  <w:style w:type="character" w:styleId="2" w:customStyle="1">
    <w:name w:val="Заголовок 2 Знак"/>
    <w:basedOn w:val="DefaultParagraphFont"/>
    <w:uiPriority w:val="9"/>
    <w:semiHidden/>
    <w:qFormat/>
    <w:rsid w:val="004c77ec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Style12" w:customStyle="1">
    <w:name w:val="Текст сноски Знак"/>
    <w:basedOn w:val="DefaultParagraphFont"/>
    <w:qFormat/>
    <w:rsid w:val="0041486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3" w:customStyle="1">
    <w:name w:val="Символ сноски"/>
    <w:qFormat/>
    <w:rsid w:val="0041486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Blk" w:customStyle="1">
    <w:name w:val="blk"/>
    <w:qFormat/>
    <w:rsid w:val="00251444"/>
    <w:rPr/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Style18" w:customStyle="1">
    <w:name w:val="Колонтитул"/>
    <w:basedOn w:val="Normal"/>
    <w:qFormat/>
    <w:pPr/>
    <w:rPr/>
  </w:style>
  <w:style w:type="paragraph" w:styleId="Footer">
    <w:name w:val="Footer"/>
    <w:basedOn w:val="Normal"/>
    <w:link w:val="Style5"/>
    <w:uiPriority w:val="99"/>
    <w:rsid w:val="00eb4ab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Calibri" w:hAnsi="Calibri" w:eastAsia="Calibri" w:cs="Times New Roman"/>
    </w:rPr>
  </w:style>
  <w:style w:type="paragraph" w:styleId="ListParagraph">
    <w:name w:val="List Paragraph"/>
    <w:basedOn w:val="Normal"/>
    <w:link w:val="Style11"/>
    <w:uiPriority w:val="99"/>
    <w:qFormat/>
    <w:rsid w:val="00bc249e"/>
    <w:pPr>
      <w:spacing w:before="0" w:after="200"/>
      <w:ind w:left="720" w:hanging="0"/>
      <w:contextualSpacing/>
    </w:pPr>
    <w:rPr/>
  </w:style>
  <w:style w:type="paragraph" w:styleId="Header">
    <w:name w:val="Header"/>
    <w:basedOn w:val="Normal"/>
    <w:link w:val="Style6"/>
    <w:uiPriority w:val="99"/>
    <w:unhideWhenUsed/>
    <w:rsid w:val="001533c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27f2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Style8"/>
    <w:uiPriority w:val="99"/>
    <w:semiHidden/>
    <w:unhideWhenUsed/>
    <w:qFormat/>
    <w:rsid w:val="00d35997"/>
    <w:pPr>
      <w:spacing w:lineRule="auto" w:line="240" w:before="0" w:after="0"/>
    </w:pPr>
    <w:rPr>
      <w:rFonts w:ascii="Calibri" w:hAnsi="Calibri"/>
      <w:szCs w:val="21"/>
    </w:rPr>
  </w:style>
  <w:style w:type="paragraph" w:styleId="Annotationtext">
    <w:name w:val="annotation text"/>
    <w:basedOn w:val="Normal"/>
    <w:link w:val="Style9"/>
    <w:semiHidden/>
    <w:unhideWhenUsed/>
    <w:qFormat/>
    <w:rsid w:val="00c56bda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c56bda"/>
    <w:pPr/>
    <w:rPr>
      <w:b/>
      <w:bCs/>
    </w:rPr>
  </w:style>
  <w:style w:type="paragraph" w:styleId="Default" w:customStyle="1">
    <w:name w:val="Default"/>
    <w:qFormat/>
    <w:rsid w:val="00e13f6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071f1b"/>
    <w:pPr>
      <w:keepLines/>
      <w:spacing w:lineRule="auto" w:line="276" w:before="480" w:after="0"/>
      <w:outlineLvl w:val="9"/>
    </w:pPr>
    <w:rPr>
      <w:rFonts w:ascii="Cambria" w:hAnsi="Cambria" w:eastAsia="" w:cs="" w:asciiTheme="majorHAnsi" w:cstheme="majorBidi" w:eastAsiaTheme="majorEastAsia" w:hAnsiTheme="majorHAnsi"/>
      <w:bCs/>
      <w:color w:val="365F91" w:themeColor="accent1" w:themeShade="bf"/>
      <w:lang w:val="ru-RU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071f1b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071f1b"/>
    <w:pPr>
      <w:spacing w:before="0" w:after="100"/>
      <w:ind w:left="220" w:hanging="0"/>
    </w:pPr>
    <w:rPr/>
  </w:style>
  <w:style w:type="paragraph" w:styleId="TOC3">
    <w:name w:val="TOC 3"/>
    <w:basedOn w:val="Normal"/>
    <w:next w:val="Normal"/>
    <w:autoRedefine/>
    <w:uiPriority w:val="39"/>
    <w:unhideWhenUsed/>
    <w:rsid w:val="00071f1b"/>
    <w:pPr>
      <w:spacing w:before="0" w:after="100"/>
      <w:ind w:left="440" w:hanging="0"/>
    </w:pPr>
    <w:rPr/>
  </w:style>
  <w:style w:type="paragraph" w:styleId="FootnoteText">
    <w:name w:val="Footnote Text"/>
    <w:basedOn w:val="Normal"/>
    <w:link w:val="Style12"/>
    <w:rsid w:val="00414869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19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0" w:customStyle="1">
    <w:name w:val="Заголовок таблицы"/>
    <w:basedOn w:val="Style19"/>
    <w:qFormat/>
    <w:pPr>
      <w:jc w:val="center"/>
    </w:pPr>
    <w:rPr>
      <w:b/>
      <w:bCs/>
    </w:rPr>
  </w:style>
  <w:style w:type="paragraph" w:styleId="Style21" w:customStyle="1">
    <w:name w:val="Раздел положения"/>
    <w:basedOn w:val="Normal"/>
    <w:autoRedefine/>
    <w:qFormat/>
    <w:rsid w:val="00251444"/>
    <w:pPr>
      <w:numPr>
        <w:ilvl w:val="0"/>
        <w:numId w:val="6"/>
      </w:numPr>
      <w:spacing w:lineRule="auto" w:line="240" w:before="80" w:after="80"/>
      <w:jc w:val="center"/>
    </w:pPr>
    <w:rPr>
      <w:rFonts w:ascii="Times New Roman" w:hAnsi="Times New Roman" w:eastAsia="Times New Roman" w:cs="Times New Roman"/>
      <w:b/>
      <w:sz w:val="32"/>
      <w:szCs w:val="32"/>
      <w:lang w:eastAsia="ru-RU"/>
    </w:rPr>
  </w:style>
  <w:style w:type="paragraph" w:styleId="Style22" w:customStyle="1">
    <w:name w:val="Подраздел раздела положения"/>
    <w:basedOn w:val="Normal"/>
    <w:autoRedefine/>
    <w:qFormat/>
    <w:rsid w:val="00251444"/>
    <w:pPr>
      <w:numPr>
        <w:ilvl w:val="1"/>
        <w:numId w:val="6"/>
      </w:numPr>
      <w:spacing w:lineRule="auto" w:line="240" w:before="80" w:after="80"/>
      <w:jc w:val="both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5">
    <w:name w:val="Table Grid"/>
    <w:basedOn w:val="a3"/>
    <w:uiPriority w:val="39"/>
    <w:rsid w:val="00a92f99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3"/>
    <w:uiPriority w:val="39"/>
    <w:rsid w:val="002f4a73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3"/>
    <w:uiPriority w:val="39"/>
    <w:rsid w:val="001d3a45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">
    <w:name w:val="Сетка таблицы111"/>
    <w:basedOn w:val="a3"/>
    <w:uiPriority w:val="39"/>
    <w:rsid w:val="00ea7e90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">
    <w:name w:val="Сетка таблицы2"/>
    <w:basedOn w:val="a3"/>
    <w:uiPriority w:val="39"/>
    <w:rsid w:val="00ea7e90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">
    <w:name w:val="Сетка таблицы3"/>
    <w:basedOn w:val="a3"/>
    <w:uiPriority w:val="39"/>
    <w:rsid w:val="00dc7670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7140E-018A-4A0E-BEBF-78BFE34D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AlterOffice/3.4.0.9$Linux_X86_64 LibreOffice_project/b8daf9e823b1a5463a2f48435ddc2e8696e7d4fc</Application>
  <AppVersion>15.0000</AppVersion>
  <DocSecurity>4</DocSecurity>
  <Pages>9</Pages>
  <Words>1451</Words>
  <Characters>9996</Characters>
  <CharactersWithSpaces>10479</CharactersWithSpaces>
  <Paragraphs>234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2024-06-25T05:11:00Z</dcterms:created>
  <dc:creator>Катков Олег Валерьевич</dc:creator>
  <dc:description/>
  <dc:language>ru-RU</dc:language>
  <cp:lastModifiedBy>sunkulievaa@corp.gidroogk.com</cp:lastModifiedBy>
  <cp:lastPrinted>2023-08-15T06:44:00Z</cp:lastPrinted>
  <dcterms:modified xsi:type="dcterms:W3CDTF">2026-06-02T08:45:07Z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